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C09" w:rsidRPr="000517E5" w:rsidRDefault="00247306" w:rsidP="000517E5">
      <w:pPr>
        <w:pStyle w:val="Corpodetexto"/>
        <w:rPr>
          <w:rFonts w:ascii="Times New Roman" w:hAnsi="Times New Roman"/>
          <w:b/>
        </w:rPr>
      </w:pPr>
      <w:bookmarkStart w:id="0" w:name="_GoBack"/>
      <w:bookmarkEnd w:id="0"/>
      <w:r w:rsidRPr="000517E5">
        <w:rPr>
          <w:rFonts w:ascii="Times New Roman" w:hAnsi="Times New Roman"/>
          <w:b/>
        </w:rPr>
        <w:t>A SAÚDE COLETIVA ENTRE O SUPER-HOMEM E SÃO FRANCISCO DE ASSIS</w:t>
      </w:r>
    </w:p>
    <w:p w:rsidR="00790C09" w:rsidRPr="000517E5" w:rsidRDefault="00790C09" w:rsidP="000517E5">
      <w:pPr>
        <w:jc w:val="both"/>
        <w:rPr>
          <w:rFonts w:ascii="Times New Roman" w:hAnsi="Times New Roman"/>
        </w:rPr>
      </w:pPr>
    </w:p>
    <w:p w:rsidR="00790C09" w:rsidRPr="000517E5" w:rsidRDefault="00790C09" w:rsidP="000517E5">
      <w:pPr>
        <w:jc w:val="both"/>
        <w:rPr>
          <w:rFonts w:ascii="Times New Roman" w:hAnsi="Times New Roman"/>
        </w:rPr>
      </w:pPr>
    </w:p>
    <w:p w:rsidR="00790C09" w:rsidRPr="000517E5" w:rsidRDefault="000517E5" w:rsidP="000517E5">
      <w:pPr>
        <w:rPr>
          <w:rFonts w:ascii="Times New Roman" w:hAnsi="Times New Roman"/>
        </w:rPr>
      </w:pPr>
      <w:r w:rsidRPr="000517E5">
        <w:rPr>
          <w:rFonts w:ascii="Times New Roman" w:hAnsi="Times New Roman"/>
        </w:rPr>
        <w:t>Este texto “</w:t>
      </w:r>
      <w:r w:rsidR="00247306" w:rsidRPr="000517E5">
        <w:rPr>
          <w:rFonts w:ascii="Times New Roman" w:hAnsi="Times New Roman"/>
        </w:rPr>
        <w:t>Saúde Pública e Saúde Coletiva: campo e núcleo de saberes e práticas</w:t>
      </w:r>
      <w:r w:rsidRPr="000517E5">
        <w:rPr>
          <w:rFonts w:ascii="Times New Roman" w:hAnsi="Times New Roman"/>
        </w:rPr>
        <w:t>”</w:t>
      </w:r>
      <w:r w:rsidR="00247306" w:rsidRPr="000517E5">
        <w:rPr>
          <w:rFonts w:ascii="Times New Roman" w:hAnsi="Times New Roman"/>
        </w:rPr>
        <w:t xml:space="preserve"> me parece mais uma “travessura” de nosso amigo Gastão Wagner...</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Que não se chateie o autor e tampouco seus muitos amigos e admiradores, entre os quais me incluo. Mas devo admitir que toda vez que leio algo deste estimado sujeito acabo com uma sensação de ser cúmplice de uma autêntica travessura, dada a maneira lúdica com que nos oferece suas palavras, suas imagens e suas idéias. Gastão, afinal, é um Escritor - não meramente um escriba de artigos, teses e relatórios, como tantos outros de nós - mas um criador de novelas, romances, quem sabe até de poesia. Vai uma ponta de inveja neste coment</w:t>
      </w:r>
      <w:r w:rsidR="000517E5">
        <w:rPr>
          <w:rFonts w:ascii="Times New Roman" w:hAnsi="Times New Roman"/>
        </w:rPr>
        <w:t>ário, também.</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Travessuras são jogos. Às vezes mostram o que apenas parece; às vezes escondem o que é de fato. Jogos de espelhos, labirintos, provocando ilusões óticas e filosóficas.</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 xml:space="preserve">Vamos ao texto. O autor se revela, por vezes, nostálgico daqueles anos de desenvolvimento teórico da Saúde Coletiva, época de incorporação de uma sofisticada trama de categorias sociológicas, sucedido, malgrado seu, nos anos 90, por um pensamento sistêmico bastante pragmático e instrumental. Mas, o que é isso, companheiro: afinal não logramos escapar, pela luta, das trincheiras da resistência ao arbítrio, das visões dicotomizadas de mundo, que você muito bem critica mais adiante no mesmo texto? Foi assim que demos de cara com a realidade, inclusive com a realidade amarga (para alguns) de se construir de forma pragmática e instrumental aquele sistema de saúde pelo qual pugnamos em outros anos. Fazer o quê? </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No mesmo tom, embora mais atenuado, o objetivismo da Saúde Coletiva contemporânea é deplorado. Mas o autor mesmo se encarrega de nos animar</w:t>
      </w:r>
      <w:r w:rsidR="000517E5">
        <w:rPr>
          <w:rFonts w:ascii="Times New Roman" w:hAnsi="Times New Roman"/>
        </w:rPr>
        <w:t>,</w:t>
      </w:r>
      <w:r w:rsidRPr="000517E5">
        <w:rPr>
          <w:rFonts w:ascii="Times New Roman" w:hAnsi="Times New Roman"/>
        </w:rPr>
        <w:t xml:space="preserve"> face a mais esta cruz que temos que carregar: afinal, ele nos lembra, ainda é insuficiente o pensamento social incorporado à nossa disciplina e há forças ocultas, mãos invisíveis e pressões veladas a nos ameaçar, vindo das entranhas de alguns monstros redivivos na pós-modernidade. Será que a Saúde Coletiva, </w:t>
      </w:r>
      <w:r w:rsidR="002875B4">
        <w:rPr>
          <w:rFonts w:ascii="Times New Roman" w:hAnsi="Times New Roman"/>
        </w:rPr>
        <w:t>neé</w:t>
      </w:r>
      <w:r w:rsidRPr="000517E5">
        <w:rPr>
          <w:rFonts w:ascii="Times New Roman" w:hAnsi="Times New Roman"/>
        </w:rPr>
        <w:t xml:space="preserve"> Saúde Pública, tem salvação?</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 xml:space="preserve">Sim, como quer GW, a salvação é possível e passa por libertar este campo de saberes e de práticas da carga positivista, objetivista, instrumental que o ofusca e o ofende. Que Saúde Coletiva passe a ser um saber (entre outros) sobre a produção de saúde e de doença, afastando-se da ridícula arrogância de querer ser “o Saber”. Mas esta declaração quase franciscana de humildade intelectual não encontra eco em outros momentos da dèmarche  gastoniana, por exemplo,  quando sonha com um campo de conhecimentos e de práticas que produzisse não objetos/sujeitados, mas Seres com potencial para pensar e mais, que pudesse multiplicar as possibilidades de uma vida livre para as pessoas, cabendo a seus membros, ainda, argüir contra os economistas e os políticos, trabalhando com autonomia relativa em relação ao Estado, aos partidos políticos, às ideologias e outras racionalidades técnicas. Uma Saúde Pública que desejasse, enfim, diminuir o coeficiente de alienação das pessoas. Uma missão, enfim, para um personagem certo. Convoquêmo-lo: shazam! </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lastRenderedPageBreak/>
        <w:t>O fato é que, contraditoriamente, aquela transcendência pretendida pela Saúde Pública tradicional, com todo seu viés autoritário, excludente, instrumental, etc. fica substituída por uma nova transcendência, de feição pós-moderna e politicamente correta, porque assentada na emancipação do homem. É a Saúde Pública da Libertação? Li algo parecido em Boff &amp; Betto, já fazem alguns anos!</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 xml:space="preserve">GW, sempre brilhante, não perde a verve em nenhum momento de seu texto, justiça seja feita! Apreciei muito sua discussão sobre o papel social do Sanitarista, embora prefira chamá-lo “Especialista em Saúde Coletiva”, mesmo que a titulação acadêmica seja muitas vezes superior ou inferior a este conceito </w:t>
      </w:r>
      <w:r w:rsidRPr="002875B4">
        <w:rPr>
          <w:rFonts w:ascii="Times New Roman" w:hAnsi="Times New Roman"/>
          <w:i/>
        </w:rPr>
        <w:t>strictu senso</w:t>
      </w:r>
      <w:r w:rsidRPr="000517E5">
        <w:rPr>
          <w:rFonts w:ascii="Times New Roman" w:hAnsi="Times New Roman"/>
        </w:rPr>
        <w:t xml:space="preserve">. Mas não dá para deixar de destacar o que o autor nos apresenta como autêntica “palavra de ordem”: que tais praticantes assumam explicitamente uma visão de mundo fundada na radical defesa da vida (ele ainda acrescenta “das pessoas com as quais trabalham”, mas sinceramente acho dispensável este adendo). Sem querer fazer uma </w:t>
      </w:r>
      <w:r w:rsidRPr="002875B4">
        <w:rPr>
          <w:rFonts w:ascii="Times New Roman" w:hAnsi="Times New Roman"/>
          <w:i/>
        </w:rPr>
        <w:t>advocacy</w:t>
      </w:r>
      <w:r w:rsidRPr="000517E5">
        <w:rPr>
          <w:rFonts w:ascii="Times New Roman" w:hAnsi="Times New Roman"/>
        </w:rPr>
        <w:t xml:space="preserve"> diabólica: não seria esta radical defesa da vida um compromisso ético, imperativo categórico de todo cidadão, de todo Ser pensante em sintonia com seu mundo? Por que canalizar isto, até com o adjetivo radical, justamente para tal personagem, detentor, afinal, apenas de um saber entre outros saberes? Não seria exigir demais dele? Acaso representaria o Sanitarista uma espécie de “reserva crítica da sociedade”, como GW parece querer erigi-lo? Palavras – desculpem - são palavras – também aquelas “de ordem”... </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 xml:space="preserve">Creio que nosso autor fornece elementos interessantes para esta discussão do papel do Especialista em Saúde Coletiva ao nos apresentar aquela identificação dos quatro modos de se produzir saúde: (a) a Produção Social; (b) a Saúde Coletiva; (c) a Clínica e a Reabilitação; (d) o Atendimento Emergencial. Acho o esquema interessante, porque de certa forma indica uma visão menos arrogante do papel deste profissional, afinal de contas dotado de capacidades apenas em relação a um de tais vastos campos. Mas creio que falta um modo importante a ser destacado ali, este também apenas indiretamente dependente de nosso especialista. Refiro-me àquelas práticas de saúde primordiais, que só o Sujeito - e ninguém mais - pode realizar, como usar a camisinha, o cinto de segurança, praticar o sexo seguro, praticar exercícios, ingerir picanha &amp; cerveja moderadamente, etc. De toda forma gostaria de ser esclarecido por que as urgências e emergências não são consideradas por Gastão como pertencentes ao campo da Clínica? </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 xml:space="preserve">Toda esta questão da responsabilidade da Saúde Pública pela defesa da vida e, mais adiante, a alusão a Sartre (saúde considerada como um projeto) me aguçou o apetite de que GW iria aprofundar uma questão que já anunciara em outros textos seus, qual seja a da inclusão dos desejos das pessoas no campo das necessidades atendidas nas propostas de intervenção coletiva em saúde. Com efeito, é preciso pensar de novo, sempre e mais uma vez, na questão do objetivismo, de que já nos falara o autor antes. O conceito de que dispomos de Promoção da Saúde, na sua vertente canadense e opasiana, não foge, sem dúvida, da assunção de que o que na realidade importa é uma necessidade coletiva, organizada por sujeitos idem, como o Estado e as Instituições. Uma imagem de fácil aceitação, porque operativa e orgânica ao ideário do direito à saúde e da responsabilidade pública. Porém, sem dúvida, as coisas podem e devem ser tratadas de forma mais complexa, considerando que os Sujeitos nascem, vivem, adoecem e morrem individuais e que sua vida coletiva em muitos momentos não passa de uma abstração. Creio que temos realmente que pensar em </w:t>
      </w:r>
      <w:r w:rsidRPr="000517E5">
        <w:rPr>
          <w:rFonts w:ascii="Times New Roman" w:hAnsi="Times New Roman"/>
        </w:rPr>
        <w:lastRenderedPageBreak/>
        <w:t>uma Saúde Pública/Coletiva capaz de operar conceitos e práticas de Promoção e Vigilância à Saúde capazes de dar conta, por exemplo, de questões como estética corporal, prazer sexual, fruição da vida, desejo do ócio digno -  da busca da felicidade, enfim. Só nos resta saber: como? Mas não custa tentar... Gastão, ainda desta vez, ficou nos devendo algo mais substancioso nesta discussão que, afinal, é muito sua.</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 xml:space="preserve">Reconstruir o núcleo de práticas e saberes da Saúde Coletiva: a seção final está repleta de boas intenções de propor o debate, mas parece se perder em palavras de ordem (e progresso), além de um tanto de prescrição e pretensão. O moralismo da Saúde Pública tradicional, vituperado em outro momento, volta travestido de certa prudência e correção política, mas continua pulsando nas idéias defendidas no texto, mesmo com cores revolucionárias e emancipatórias. Falam mais alto aqui expressões como radical defesa da vida, autonomia em relação ao Estado, aos partidos, etc., a oposição aos economistas e aos políticos, a denúncia ao pragmatismo dos que lutam pelo poder, o compromisso com a redução do coeficiente de alienação, a invenção da saúde. Nada mais distante, enfim, da modéstia e da ruptura com a arrogância sanitarista herdada do século XIX. Mesmo a denúncia do “moralismo” e do “normativismo” da Saúde Pública em sua abordagem intervencionista sobre os estilos de vida pouco saudáveis contradiz o caráter, a meu ver também moral e normativo, das conclusões do artigo. </w:t>
      </w:r>
    </w:p>
    <w:p w:rsidR="00790C09" w:rsidRPr="000517E5" w:rsidRDefault="00790C09" w:rsidP="000517E5">
      <w:pPr>
        <w:jc w:val="both"/>
        <w:rPr>
          <w:rFonts w:ascii="Times New Roman" w:hAnsi="Times New Roman"/>
        </w:rPr>
      </w:pPr>
    </w:p>
    <w:p w:rsidR="00790C09" w:rsidRPr="000517E5" w:rsidRDefault="00247306" w:rsidP="000517E5">
      <w:pPr>
        <w:jc w:val="both"/>
        <w:rPr>
          <w:rFonts w:ascii="Times New Roman" w:hAnsi="Times New Roman"/>
        </w:rPr>
      </w:pPr>
      <w:r w:rsidRPr="000517E5">
        <w:rPr>
          <w:rFonts w:ascii="Times New Roman" w:hAnsi="Times New Roman"/>
        </w:rPr>
        <w:t>Mais uma questão levantada nesta seção: escolher entre longevidade e prazer pode até ser um direito dos sujeitos, sim, mas desde que estes pudessem se colocar em condições de simetria e igualdade face aos que lhes vendem o pacote de “prazeres”. Na sociedade de consumo as coisas são realmente mais complexas do que as aparências indicam. Assim, quem sabe, o próprio caráter de intervenção da Saúde Pública exercido sobre aqueles que fruem de tais “prazeres”, mas também sobre os que os proporcionam, em um Mercado assimétrico de oportunidades, não seria defensável?</w:t>
      </w:r>
    </w:p>
    <w:p w:rsidR="00790C09" w:rsidRPr="000517E5" w:rsidRDefault="00790C09" w:rsidP="000517E5">
      <w:pPr>
        <w:jc w:val="both"/>
        <w:rPr>
          <w:rFonts w:ascii="Times New Roman" w:hAnsi="Times New Roman"/>
        </w:rPr>
      </w:pPr>
    </w:p>
    <w:p w:rsidR="00247306" w:rsidRPr="000517E5" w:rsidRDefault="00247306" w:rsidP="000517E5">
      <w:pPr>
        <w:jc w:val="both"/>
        <w:rPr>
          <w:rFonts w:ascii="Times New Roman" w:hAnsi="Times New Roman"/>
        </w:rPr>
      </w:pPr>
      <w:r w:rsidRPr="000517E5">
        <w:rPr>
          <w:rFonts w:ascii="Times New Roman" w:hAnsi="Times New Roman"/>
        </w:rPr>
        <w:t>O grande problema ao se falar de um campo onde nós próprios habitamos e no qual, queiramos ou não, estão traçados alguns dos nossos limites, mesmo que sejam círculos de giz, é que as tendências ao circunlóquio e ao diálogo com o próprio umbigo sempre a</w:t>
      </w:r>
      <w:r w:rsidR="002875B4">
        <w:rPr>
          <w:rFonts w:ascii="Times New Roman" w:hAnsi="Times New Roman"/>
        </w:rPr>
        <w:t xml:space="preserve">meaçarão nossa clarividência e </w:t>
      </w:r>
      <w:r w:rsidRPr="000517E5">
        <w:rPr>
          <w:rFonts w:ascii="Times New Roman" w:hAnsi="Times New Roman"/>
        </w:rPr>
        <w:t>nossa legitimidade em defendê-lo, atacá-lo ou mesmo, simplesmente, tentar explicá-lo. Discutir a Saúde Coletiva, a Promoção da Saúde, a Vigilância e assuntos que-tais, estando onde estamos todos,</w:t>
      </w:r>
      <w:r w:rsidR="002875B4">
        <w:rPr>
          <w:rFonts w:ascii="Times New Roman" w:hAnsi="Times New Roman"/>
        </w:rPr>
        <w:t xml:space="preserve"> me traz uma imagem digna de um</w:t>
      </w:r>
      <w:r w:rsidRPr="000517E5">
        <w:rPr>
          <w:rFonts w:ascii="Times New Roman" w:hAnsi="Times New Roman"/>
        </w:rPr>
        <w:t xml:space="preserve"> quadro de Dali ou Magritte: na plataforma de uma estação, esperamos um trem, para algum lugar; o trem se aproxima, com certeza, mas também a plataforma está em movimento; o relógio, ali naquela trave, gira a uma velocidade diferente dos relógios comuns e em certos momentos parece que vai derreter e cair no chão, em gotas... Gastão Wagner e todos os outros, ousados perscrutadores das fronteiras do campo da Saúde Pública/Coletiva estarão, a priori, perdoados de suas ilusões e sempre terão nosso reconhecimento pela sua coragem de continuar indagando e se arriscando nesta plataforma em movimento. Principalmente quando ainda são capazes de nos oferecer seus argumentos com tanta elegância e erudição como este nosso Escritor goiano-campineiro. Evoé!</w:t>
      </w:r>
    </w:p>
    <w:sectPr w:rsidR="00247306" w:rsidRPr="000517E5" w:rsidSect="00790C09">
      <w:pgSz w:w="12240" w:h="15840"/>
      <w:pgMar w:top="1417" w:right="1701" w:bottom="1417"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C31" w:rsidRDefault="00C20C31">
      <w:r>
        <w:separator/>
      </w:r>
    </w:p>
  </w:endnote>
  <w:endnote w:type="continuationSeparator" w:id="0">
    <w:p w:rsidR="00C20C31" w:rsidRDefault="00C20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C31" w:rsidRDefault="00C20C31">
      <w:r>
        <w:separator/>
      </w:r>
    </w:p>
  </w:footnote>
  <w:footnote w:type="continuationSeparator" w:id="0">
    <w:p w:rsidR="00C20C31" w:rsidRDefault="00C20C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DCE"/>
    <w:rsid w:val="000517E5"/>
    <w:rsid w:val="000F6DCE"/>
    <w:rsid w:val="00247306"/>
    <w:rsid w:val="002875B4"/>
    <w:rsid w:val="00790C09"/>
    <w:rsid w:val="00BE29B3"/>
    <w:rsid w:val="00C20C31"/>
    <w:rsid w:val="00D27A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CABCBB1-9019-45B8-AC1B-416311B82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0C09"/>
    <w:rPr>
      <w:rFonts w:ascii="Comic Sans MS" w:hAnsi="Comic Sans M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semiHidden/>
    <w:rsid w:val="00790C09"/>
    <w:rPr>
      <w:sz w:val="20"/>
    </w:rPr>
  </w:style>
  <w:style w:type="character" w:styleId="Refdenotaderodap">
    <w:name w:val="footnote reference"/>
    <w:basedOn w:val="Fontepargpadro"/>
    <w:semiHidden/>
    <w:rsid w:val="00790C09"/>
    <w:rPr>
      <w:vertAlign w:val="superscript"/>
    </w:rPr>
  </w:style>
  <w:style w:type="character" w:styleId="Hyperlink">
    <w:name w:val="Hyperlink"/>
    <w:basedOn w:val="Fontepargpadro"/>
    <w:semiHidden/>
    <w:rsid w:val="00790C09"/>
    <w:rPr>
      <w:color w:val="0000FF"/>
      <w:u w:val="single"/>
    </w:rPr>
  </w:style>
  <w:style w:type="paragraph" w:styleId="Corpodetexto">
    <w:name w:val="Body Text"/>
    <w:basedOn w:val="Normal"/>
    <w:semiHidden/>
    <w:rsid w:val="00790C09"/>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1592</Words>
  <Characters>8600</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SABERES E PRÁTICAS</vt:lpstr>
    </vt:vector>
  </TitlesOfParts>
  <Company> </Company>
  <LinksUpToDate>false</LinksUpToDate>
  <CharactersWithSpaces>10172</CharactersWithSpaces>
  <SharedDoc>false</SharedDoc>
  <HLinks>
    <vt:vector size="6" baseType="variant">
      <vt:variant>
        <vt:i4>4849716</vt:i4>
      </vt:variant>
      <vt:variant>
        <vt:i4>0</vt:i4>
      </vt:variant>
      <vt:variant>
        <vt:i4>0</vt:i4>
      </vt:variant>
      <vt:variant>
        <vt:i4>5</vt:i4>
      </vt:variant>
      <vt:variant>
        <vt:lpwstr>mailto:fgoulart@tba.com.br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SABERES E PRÁTICAS</dc:title>
  <dc:subject/>
  <dc:creator>FLAVIO GOULART</dc:creator>
  <cp:keywords/>
  <cp:lastModifiedBy>FLAVIO GOULART</cp:lastModifiedBy>
  <cp:revision>2</cp:revision>
  <dcterms:created xsi:type="dcterms:W3CDTF">2015-09-18T20:36:00Z</dcterms:created>
  <dcterms:modified xsi:type="dcterms:W3CDTF">2015-09-18T20:36:00Z</dcterms:modified>
</cp:coreProperties>
</file>